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874788" w:rsidRPr="00874788" w:rsidTr="009261A1">
        <w:trPr>
          <w:jc w:val="center"/>
        </w:trPr>
        <w:tc>
          <w:tcPr>
            <w:tcW w:w="743" w:type="dxa"/>
          </w:tcPr>
          <w:p w:rsidR="00874788" w:rsidRPr="00874788" w:rsidRDefault="00874788" w:rsidP="009261A1">
            <w:pPr>
              <w:jc w:val="both"/>
              <w:rPr>
                <w:rFonts w:ascii="David" w:hAnsi="David" w:cs="David"/>
                <w:b/>
                <w:bCs/>
                <w:sz w:val="24"/>
                <w:szCs w:val="24"/>
              </w:rPr>
            </w:pPr>
            <w:r w:rsidRPr="00874788">
              <w:rPr>
                <w:rFonts w:ascii="David" w:hAnsi="David" w:cs="David"/>
                <w:b/>
                <w:bCs/>
                <w:sz w:val="24"/>
                <w:szCs w:val="24"/>
                <w:rtl/>
              </w:rPr>
              <w:t xml:space="preserve">בפני </w:t>
            </w:r>
          </w:p>
        </w:tc>
        <w:tc>
          <w:tcPr>
            <w:tcW w:w="8077" w:type="dxa"/>
          </w:tcPr>
          <w:p w:rsidR="00874788" w:rsidRPr="00874788" w:rsidRDefault="00874788" w:rsidP="009261A1">
            <w:pPr>
              <w:rPr>
                <w:rFonts w:ascii="David" w:hAnsi="David" w:cs="David"/>
                <w:b/>
                <w:bCs/>
                <w:sz w:val="24"/>
                <w:szCs w:val="24"/>
                <w:rtl/>
              </w:rPr>
            </w:pPr>
            <w:r w:rsidRPr="00874788">
              <w:rPr>
                <w:rFonts w:ascii="David" w:hAnsi="David" w:cs="David"/>
                <w:b/>
                <w:bCs/>
                <w:sz w:val="24"/>
                <w:szCs w:val="24"/>
                <w:rtl/>
              </w:rPr>
              <w:t>כב' ה</w:t>
            </w:r>
            <w:sdt>
              <w:sdtPr>
                <w:rPr>
                  <w:rFonts w:ascii="David" w:hAnsi="David" w:cs="David"/>
                  <w:sz w:val="24"/>
                  <w:szCs w:val="24"/>
                  <w:rtl/>
                </w:rPr>
                <w:alias w:val="1574"/>
                <w:tag w:val="1574"/>
                <w:id w:val="490682261"/>
                <w:text w:multiLine="1"/>
              </w:sdtPr>
              <w:sdtEndPr/>
              <w:sdtContent>
                <w:r w:rsidRPr="00874788">
                  <w:rPr>
                    <w:rFonts w:ascii="David" w:hAnsi="David" w:cs="David"/>
                    <w:b/>
                    <w:bCs/>
                    <w:sz w:val="24"/>
                    <w:szCs w:val="24"/>
                    <w:rtl/>
                  </w:rPr>
                  <w:t>שופט</w:t>
                </w:r>
              </w:sdtContent>
            </w:sdt>
            <w:r w:rsidRPr="00874788">
              <w:rPr>
                <w:rFonts w:ascii="David" w:hAnsi="David" w:cs="David"/>
                <w:b/>
                <w:bCs/>
                <w:sz w:val="24"/>
                <w:szCs w:val="24"/>
                <w:rtl/>
              </w:rPr>
              <w:t xml:space="preserve">  </w:t>
            </w:r>
            <w:sdt>
              <w:sdtPr>
                <w:rPr>
                  <w:rFonts w:ascii="David" w:hAnsi="David" w:cs="David"/>
                  <w:sz w:val="24"/>
                  <w:szCs w:val="24"/>
                  <w:rtl/>
                </w:rPr>
                <w:alias w:val="1573"/>
                <w:tag w:val="1573"/>
                <w:id w:val="-1842311034"/>
                <w:text w:multiLine="1"/>
              </w:sdtPr>
              <w:sdtEndPr/>
              <w:sdtContent>
                <w:r w:rsidRPr="00874788">
                  <w:rPr>
                    <w:rFonts w:ascii="David" w:hAnsi="David" w:cs="David"/>
                    <w:b/>
                    <w:bCs/>
                    <w:sz w:val="24"/>
                    <w:szCs w:val="24"/>
                    <w:rtl/>
                  </w:rPr>
                  <w:t>ארז שני</w:t>
                </w:r>
              </w:sdtContent>
            </w:sdt>
          </w:p>
          <w:p w:rsidR="00874788" w:rsidRPr="00874788" w:rsidRDefault="00874788" w:rsidP="009261A1">
            <w:pPr>
              <w:rPr>
                <w:rFonts w:ascii="David" w:hAnsi="David" w:cs="David"/>
                <w:sz w:val="24"/>
                <w:szCs w:val="24"/>
                <w:highlight w:val="yellow"/>
              </w:rPr>
            </w:pPr>
          </w:p>
        </w:tc>
      </w:tr>
    </w:tbl>
    <w:tbl>
      <w:tblPr>
        <w:tblStyle w:val="1"/>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74788" w:rsidRPr="00874788" w:rsidTr="009261A1">
        <w:tc>
          <w:tcPr>
            <w:tcW w:w="3246" w:type="dxa"/>
          </w:tcPr>
          <w:p w:rsidR="00874788" w:rsidRPr="00874788" w:rsidRDefault="00874788" w:rsidP="009261A1">
            <w:pPr>
              <w:suppressLineNumbers/>
              <w:spacing w:line="360" w:lineRule="auto"/>
              <w:rPr>
                <w:rFonts w:ascii="David" w:eastAsia="David" w:hAnsi="David" w:cs="David"/>
                <w:b/>
                <w:bCs/>
                <w:sz w:val="24"/>
                <w:szCs w:val="24"/>
              </w:rPr>
            </w:pPr>
          </w:p>
          <w:p w:rsidR="00874788" w:rsidRPr="00874788" w:rsidRDefault="00874788" w:rsidP="009261A1">
            <w:pPr>
              <w:suppressLineNumbers/>
              <w:jc w:val="left"/>
              <w:rPr>
                <w:rFonts w:ascii="David" w:eastAsia="David" w:hAnsi="David" w:cs="David"/>
                <w:b/>
                <w:bCs/>
                <w:sz w:val="24"/>
                <w:szCs w:val="24"/>
                <w:u w:val="double"/>
              </w:rPr>
            </w:pPr>
            <w:r w:rsidRPr="00874788">
              <w:rPr>
                <w:rFonts w:ascii="David" w:eastAsia="David" w:hAnsi="David" w:cs="David"/>
                <w:b/>
                <w:bCs/>
                <w:sz w:val="24"/>
                <w:szCs w:val="24"/>
                <w:u w:val="double"/>
                <w:rtl/>
              </w:rPr>
              <w:t>התובעת</w:t>
            </w:r>
          </w:p>
        </w:tc>
        <w:tc>
          <w:tcPr>
            <w:tcW w:w="5734" w:type="dxa"/>
          </w:tcPr>
          <w:p w:rsidR="00874788" w:rsidRPr="00874788" w:rsidRDefault="00874788" w:rsidP="009261A1">
            <w:pPr>
              <w:suppressLineNumbers/>
              <w:rPr>
                <w:rFonts w:ascii="David" w:hAnsi="David" w:cs="David"/>
                <w:b/>
                <w:bCs/>
                <w:sz w:val="24"/>
                <w:szCs w:val="24"/>
                <w:rtl/>
              </w:rPr>
            </w:pPr>
          </w:p>
          <w:p w:rsidR="00874788" w:rsidRPr="00874788" w:rsidRDefault="00874788" w:rsidP="009261A1">
            <w:pPr>
              <w:suppressLineNumbers/>
              <w:spacing w:line="360" w:lineRule="auto"/>
              <w:jc w:val="left"/>
              <w:rPr>
                <w:rFonts w:ascii="David" w:hAnsi="David" w:cs="David"/>
                <w:sz w:val="24"/>
                <w:szCs w:val="24"/>
                <w:rtl/>
              </w:rPr>
            </w:pPr>
            <w:r>
              <w:rPr>
                <w:rFonts w:ascii="David" w:eastAsia="David" w:hAnsi="David" w:cs="David"/>
                <w:b/>
                <w:bCs/>
                <w:sz w:val="24"/>
                <w:szCs w:val="24"/>
                <w:rtl/>
              </w:rPr>
              <w:t>י</w:t>
            </w:r>
            <w:r>
              <w:rPr>
                <w:rFonts w:ascii="David" w:eastAsia="David" w:hAnsi="David" w:cs="David" w:hint="cs"/>
                <w:b/>
                <w:bCs/>
                <w:sz w:val="24"/>
                <w:szCs w:val="24"/>
                <w:rtl/>
              </w:rPr>
              <w:t>.</w:t>
            </w:r>
            <w:r>
              <w:rPr>
                <w:rFonts w:ascii="David" w:eastAsia="David" w:hAnsi="David" w:cs="David"/>
                <w:b/>
                <w:bCs/>
                <w:sz w:val="24"/>
                <w:szCs w:val="24"/>
                <w:rtl/>
              </w:rPr>
              <w:t xml:space="preserve"> ב</w:t>
            </w:r>
            <w:r>
              <w:rPr>
                <w:rFonts w:ascii="David" w:eastAsia="David" w:hAnsi="David" w:cs="David" w:hint="cs"/>
                <w:b/>
                <w:bCs/>
                <w:sz w:val="24"/>
                <w:szCs w:val="24"/>
                <w:rtl/>
              </w:rPr>
              <w:t>.</w:t>
            </w:r>
          </w:p>
          <w:p w:rsidR="00874788" w:rsidRPr="00874788" w:rsidRDefault="00874788" w:rsidP="009261A1">
            <w:pPr>
              <w:suppressLineNumbers/>
              <w:jc w:val="left"/>
              <w:rPr>
                <w:rFonts w:ascii="David" w:hAnsi="David" w:cs="David"/>
                <w:b/>
                <w:bCs/>
                <w:sz w:val="24"/>
                <w:szCs w:val="24"/>
                <w:rtl/>
              </w:rPr>
            </w:pPr>
            <w:r w:rsidRPr="00874788">
              <w:rPr>
                <w:rFonts w:ascii="David" w:hAnsi="David" w:cs="David"/>
                <w:b/>
                <w:bCs/>
                <w:sz w:val="24"/>
                <w:szCs w:val="24"/>
                <w:rtl/>
              </w:rPr>
              <w:t xml:space="preserve">ע"י ב"כ עו"ד מורן גוהר </w:t>
            </w:r>
          </w:p>
          <w:p w:rsidR="00874788" w:rsidRPr="00874788" w:rsidRDefault="00874788" w:rsidP="009261A1">
            <w:pPr>
              <w:suppressLineNumbers/>
              <w:rPr>
                <w:rFonts w:ascii="David" w:hAnsi="David" w:cs="David"/>
                <w:sz w:val="24"/>
                <w:szCs w:val="24"/>
              </w:rPr>
            </w:pPr>
          </w:p>
        </w:tc>
      </w:tr>
      <w:tr w:rsidR="00874788" w:rsidRPr="00874788" w:rsidTr="009261A1">
        <w:tc>
          <w:tcPr>
            <w:tcW w:w="8980" w:type="dxa"/>
            <w:gridSpan w:val="2"/>
          </w:tcPr>
          <w:p w:rsidR="00874788" w:rsidRPr="00874788" w:rsidRDefault="00874788" w:rsidP="009261A1">
            <w:pPr>
              <w:suppressLineNumbers/>
              <w:rPr>
                <w:rFonts w:ascii="David" w:eastAsia="David" w:hAnsi="David" w:cs="David"/>
                <w:b/>
                <w:bCs/>
                <w:sz w:val="24"/>
                <w:szCs w:val="24"/>
              </w:rPr>
            </w:pPr>
          </w:p>
          <w:p w:rsidR="00874788" w:rsidRPr="00874788" w:rsidRDefault="00874788" w:rsidP="009261A1">
            <w:pPr>
              <w:suppressLineNumbers/>
              <w:spacing w:line="360" w:lineRule="auto"/>
              <w:jc w:val="center"/>
              <w:rPr>
                <w:rFonts w:ascii="David" w:eastAsia="David" w:hAnsi="David" w:cs="David"/>
                <w:b/>
                <w:bCs/>
                <w:sz w:val="24"/>
                <w:szCs w:val="24"/>
                <w:rtl/>
              </w:rPr>
            </w:pPr>
            <w:r w:rsidRPr="00874788">
              <w:rPr>
                <w:rFonts w:ascii="David" w:eastAsia="David" w:hAnsi="David" w:cs="David"/>
                <w:b/>
                <w:bCs/>
                <w:sz w:val="24"/>
                <w:szCs w:val="24"/>
                <w:rtl/>
              </w:rPr>
              <w:t>נגד</w:t>
            </w:r>
          </w:p>
          <w:p w:rsidR="00874788" w:rsidRPr="00874788" w:rsidRDefault="00874788" w:rsidP="009261A1">
            <w:pPr>
              <w:suppressLineNumbers/>
              <w:rPr>
                <w:rFonts w:ascii="David" w:eastAsia="David" w:hAnsi="David" w:cs="David"/>
                <w:b/>
                <w:bCs/>
                <w:sz w:val="24"/>
                <w:szCs w:val="24"/>
                <w:rtl/>
              </w:rPr>
            </w:pPr>
          </w:p>
        </w:tc>
      </w:tr>
      <w:tr w:rsidR="00874788" w:rsidRPr="00874788" w:rsidTr="009261A1">
        <w:trPr>
          <w:trHeight w:val="740"/>
        </w:trPr>
        <w:tc>
          <w:tcPr>
            <w:tcW w:w="3246" w:type="dxa"/>
            <w:hideMark/>
          </w:tcPr>
          <w:p w:rsidR="00874788" w:rsidRPr="00874788" w:rsidRDefault="00874788" w:rsidP="009261A1">
            <w:pPr>
              <w:suppressLineNumbers/>
              <w:jc w:val="left"/>
              <w:rPr>
                <w:rFonts w:ascii="David" w:eastAsia="David" w:hAnsi="David" w:cs="David"/>
                <w:b/>
                <w:bCs/>
                <w:sz w:val="24"/>
                <w:szCs w:val="24"/>
                <w:u w:val="double"/>
                <w:rtl/>
              </w:rPr>
            </w:pPr>
            <w:r w:rsidRPr="00874788">
              <w:rPr>
                <w:rFonts w:ascii="David" w:eastAsia="David" w:hAnsi="David" w:cs="David"/>
                <w:b/>
                <w:bCs/>
                <w:sz w:val="24"/>
                <w:szCs w:val="24"/>
                <w:u w:val="double"/>
                <w:rtl/>
              </w:rPr>
              <w:t>הנתבע</w:t>
            </w:r>
          </w:p>
        </w:tc>
        <w:tc>
          <w:tcPr>
            <w:tcW w:w="5734" w:type="dxa"/>
            <w:hideMark/>
          </w:tcPr>
          <w:p w:rsidR="00874788" w:rsidRPr="00874788" w:rsidRDefault="00874788" w:rsidP="009261A1">
            <w:pPr>
              <w:suppressLineNumbers/>
              <w:spacing w:line="360" w:lineRule="auto"/>
              <w:jc w:val="left"/>
              <w:rPr>
                <w:rFonts w:ascii="David" w:eastAsia="David" w:hAnsi="David" w:cs="David"/>
                <w:b/>
                <w:bCs/>
                <w:sz w:val="24"/>
                <w:szCs w:val="24"/>
                <w:rtl/>
              </w:rPr>
            </w:pPr>
            <w:r>
              <w:rPr>
                <w:rFonts w:ascii="David" w:eastAsia="David" w:hAnsi="David" w:cs="David"/>
                <w:b/>
                <w:bCs/>
                <w:sz w:val="24"/>
                <w:szCs w:val="24"/>
                <w:rtl/>
              </w:rPr>
              <w:t>א</w:t>
            </w:r>
            <w:r>
              <w:rPr>
                <w:rFonts w:ascii="David" w:eastAsia="David" w:hAnsi="David" w:cs="David" w:hint="cs"/>
                <w:b/>
                <w:bCs/>
                <w:sz w:val="24"/>
                <w:szCs w:val="24"/>
                <w:rtl/>
              </w:rPr>
              <w:t>.</w:t>
            </w:r>
            <w:r>
              <w:rPr>
                <w:rFonts w:ascii="David" w:eastAsia="David" w:hAnsi="David" w:cs="David"/>
                <w:b/>
                <w:bCs/>
                <w:sz w:val="24"/>
                <w:szCs w:val="24"/>
                <w:rtl/>
              </w:rPr>
              <w:t xml:space="preserve"> ב</w:t>
            </w:r>
            <w:r>
              <w:rPr>
                <w:rFonts w:ascii="David" w:eastAsia="David" w:hAnsi="David" w:cs="David" w:hint="cs"/>
                <w:b/>
                <w:bCs/>
                <w:sz w:val="24"/>
                <w:szCs w:val="24"/>
                <w:rtl/>
              </w:rPr>
              <w:t>.</w:t>
            </w:r>
          </w:p>
          <w:p w:rsidR="00874788" w:rsidRPr="00874788" w:rsidRDefault="00874788" w:rsidP="009261A1">
            <w:pPr>
              <w:suppressLineNumbers/>
              <w:spacing w:line="360" w:lineRule="auto"/>
              <w:jc w:val="left"/>
              <w:rPr>
                <w:rFonts w:ascii="David" w:eastAsia="David" w:hAnsi="David" w:cs="David"/>
                <w:b/>
                <w:bCs/>
                <w:sz w:val="24"/>
                <w:szCs w:val="24"/>
                <w:rtl/>
              </w:rPr>
            </w:pPr>
            <w:r w:rsidRPr="00874788">
              <w:rPr>
                <w:rFonts w:ascii="David" w:eastAsia="David" w:hAnsi="David" w:cs="David"/>
                <w:b/>
                <w:bCs/>
                <w:sz w:val="24"/>
                <w:szCs w:val="24"/>
                <w:rtl/>
              </w:rPr>
              <w:t xml:space="preserve">ע"י ב"כ עו"ד תבור גולדמן </w:t>
            </w:r>
          </w:p>
        </w:tc>
      </w:tr>
      <w:tr w:rsidR="00874788" w:rsidRPr="00874788" w:rsidTr="009261A1">
        <w:trPr>
          <w:trHeight w:val="740"/>
        </w:trPr>
        <w:tc>
          <w:tcPr>
            <w:tcW w:w="8980" w:type="dxa"/>
            <w:gridSpan w:val="2"/>
          </w:tcPr>
          <w:p w:rsidR="00874788" w:rsidRPr="00874788" w:rsidRDefault="00874788" w:rsidP="009261A1">
            <w:pPr>
              <w:suppressLineNumbers/>
              <w:jc w:val="center"/>
              <w:rPr>
                <w:rFonts w:ascii="David" w:eastAsia="David" w:hAnsi="David" w:cs="David"/>
                <w:b/>
                <w:bCs/>
                <w:sz w:val="24"/>
                <w:szCs w:val="24"/>
                <w:rtl/>
              </w:rPr>
            </w:pPr>
          </w:p>
        </w:tc>
      </w:tr>
    </w:tbl>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874788" w:rsidRPr="00874788" w:rsidTr="009261A1">
        <w:trPr>
          <w:jc w:val="center"/>
        </w:trPr>
        <w:tc>
          <w:tcPr>
            <w:tcW w:w="8820" w:type="dxa"/>
          </w:tcPr>
          <w:p w:rsidR="00874788" w:rsidRPr="00874788" w:rsidRDefault="00874788" w:rsidP="009261A1">
            <w:pPr>
              <w:bidi w:val="0"/>
              <w:jc w:val="center"/>
              <w:rPr>
                <w:rFonts w:ascii="David" w:hAnsi="David" w:cs="David"/>
                <w:b/>
                <w:bCs/>
                <w:sz w:val="24"/>
                <w:szCs w:val="24"/>
                <w:u w:val="single"/>
              </w:rPr>
            </w:pPr>
            <w:r w:rsidRPr="00874788">
              <w:rPr>
                <w:rFonts w:ascii="David" w:hAnsi="David" w:cs="David"/>
                <w:b/>
                <w:bCs/>
                <w:sz w:val="24"/>
                <w:szCs w:val="24"/>
                <w:u w:val="single"/>
                <w:rtl/>
              </w:rPr>
              <w:t>פסק דין</w:t>
            </w:r>
          </w:p>
        </w:tc>
      </w:tr>
    </w:tbl>
    <w:p w:rsidR="00874788" w:rsidRPr="00874788" w:rsidRDefault="00874788" w:rsidP="00874788">
      <w:pPr>
        <w:spacing w:line="360" w:lineRule="auto"/>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b/>
          <w:bCs/>
          <w:sz w:val="24"/>
          <w:szCs w:val="24"/>
          <w:rtl/>
        </w:rPr>
      </w:pPr>
      <w:r w:rsidRPr="00874788">
        <w:rPr>
          <w:rFonts w:ascii="David" w:hAnsi="David" w:cs="David"/>
          <w:b/>
          <w:bCs/>
          <w:sz w:val="24"/>
          <w:szCs w:val="24"/>
          <w:u w:val="single"/>
          <w:rtl/>
        </w:rPr>
        <w:t>ההליך</w:t>
      </w: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w:t>
      </w:r>
      <w:r w:rsidRPr="00874788">
        <w:rPr>
          <w:rFonts w:ascii="David" w:hAnsi="David" w:cs="David"/>
          <w:sz w:val="24"/>
          <w:szCs w:val="24"/>
          <w:rtl/>
        </w:rPr>
        <w:tab/>
        <w:t xml:space="preserve">בפני תובענה על פי סעיף </w:t>
      </w:r>
      <w:r w:rsidRPr="00874788">
        <w:rPr>
          <w:rFonts w:ascii="David" w:hAnsi="David" w:cs="David"/>
          <w:b/>
          <w:bCs/>
          <w:sz w:val="24"/>
          <w:szCs w:val="24"/>
          <w:rtl/>
        </w:rPr>
        <w:t>7</w:t>
      </w:r>
      <w:r w:rsidRPr="00874788">
        <w:rPr>
          <w:rFonts w:ascii="David" w:hAnsi="David" w:cs="David"/>
          <w:sz w:val="24"/>
          <w:szCs w:val="24"/>
          <w:rtl/>
        </w:rPr>
        <w:t xml:space="preserve"> לחוק בית המשפט לענייני משפחה, תשנ"ה – 1995 (להלן: "</w:t>
      </w:r>
      <w:r w:rsidRPr="00874788">
        <w:rPr>
          <w:rFonts w:ascii="David" w:hAnsi="David" w:cs="David"/>
          <w:b/>
          <w:bCs/>
          <w:sz w:val="24"/>
          <w:szCs w:val="24"/>
          <w:rtl/>
        </w:rPr>
        <w:t>חוק בית המשפט לענייני משפחה</w:t>
      </w:r>
      <w:r w:rsidRPr="00874788">
        <w:rPr>
          <w:rFonts w:ascii="David" w:hAnsi="David" w:cs="David"/>
          <w:sz w:val="24"/>
          <w:szCs w:val="24"/>
          <w:rtl/>
        </w:rPr>
        <w:t>"), והעותרת ליתן תוקף של פסק דין מחייב לחוות דעת חשבונאית שנתן (להלן: "</w:t>
      </w:r>
      <w:r w:rsidRPr="00874788">
        <w:rPr>
          <w:rFonts w:ascii="David" w:hAnsi="David" w:cs="David"/>
          <w:b/>
          <w:bCs/>
          <w:sz w:val="24"/>
          <w:szCs w:val="24"/>
          <w:rtl/>
        </w:rPr>
        <w:t>חוות הדעת"</w:t>
      </w:r>
      <w:r w:rsidRPr="00874788">
        <w:rPr>
          <w:rFonts w:ascii="David" w:hAnsi="David" w:cs="David"/>
          <w:sz w:val="24"/>
          <w:szCs w:val="24"/>
          <w:rtl/>
        </w:rPr>
        <w:t>)</w:t>
      </w:r>
      <w:r w:rsidRPr="00874788">
        <w:rPr>
          <w:rFonts w:ascii="David" w:hAnsi="David" w:cs="David"/>
          <w:b/>
          <w:bCs/>
          <w:sz w:val="24"/>
          <w:szCs w:val="24"/>
          <w:rtl/>
        </w:rPr>
        <w:t>,</w:t>
      </w:r>
      <w:r w:rsidRPr="00874788">
        <w:rPr>
          <w:rFonts w:ascii="David" w:hAnsi="David" w:cs="David"/>
          <w:sz w:val="24"/>
          <w:szCs w:val="24"/>
          <w:rtl/>
        </w:rPr>
        <w:t xml:space="preserve"> בעניינים של הצדדים, מכוח פסק הדין, רוה"ח רונן קידר (להלן: </w:t>
      </w:r>
      <w:r w:rsidRPr="00874788">
        <w:rPr>
          <w:rFonts w:ascii="David" w:hAnsi="David" w:cs="David"/>
          <w:b/>
          <w:bCs/>
          <w:sz w:val="24"/>
          <w:szCs w:val="24"/>
          <w:rtl/>
        </w:rPr>
        <w:t>"המומחה"</w:t>
      </w:r>
      <w:r w:rsidRPr="00874788">
        <w:rPr>
          <w:rFonts w:ascii="David" w:hAnsi="David" w:cs="David"/>
          <w:sz w:val="24"/>
          <w:szCs w:val="24"/>
          <w:rtl/>
        </w:rPr>
        <w:t xml:space="preserve">), בימים 13.7.2022 ומענה לשאלות הבהרה ביום 1.1.2023.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b/>
          <w:bCs/>
          <w:sz w:val="24"/>
          <w:szCs w:val="24"/>
          <w:u w:val="single"/>
          <w:rtl/>
        </w:rPr>
        <w:t>תמצית טענות התובעת</w:t>
      </w: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w:t>
      </w:r>
      <w:r w:rsidRPr="00874788">
        <w:rPr>
          <w:rFonts w:ascii="David" w:hAnsi="David" w:cs="David"/>
          <w:sz w:val="24"/>
          <w:szCs w:val="24"/>
          <w:rtl/>
        </w:rPr>
        <w:tab/>
        <w:t xml:space="preserve">אישור חוות הדעת ישלים את איזון המשאבים בעוד המצב כיום, לפיו אושרה רק פסיקתה מסוימת, מטיב רק עם הנתבע, אשר קיבל המגיע לו בזכויות התובעת, אך לא ההפך.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3.</w:t>
      </w:r>
      <w:r w:rsidRPr="00874788">
        <w:rPr>
          <w:rFonts w:ascii="David" w:hAnsi="David" w:cs="David"/>
          <w:sz w:val="24"/>
          <w:szCs w:val="24"/>
          <w:rtl/>
        </w:rPr>
        <w:tab/>
        <w:t xml:space="preserve">הנתבע "גורר רגלים" ונמנע ללא כל הצדק סביר מלפעול על פי חוות הדעת, טענות כספיות/אחרות שיש לו אינן סיבה שלא לאמץ את חוות הדעת ואם קיימות טענות כאמור, יואיל הנתבע לדרשן ולא יעשה דין לעצמו.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i/>
          <w:iCs/>
          <w:sz w:val="24"/>
          <w:szCs w:val="24"/>
          <w:rtl/>
        </w:rPr>
      </w:pPr>
      <w:r w:rsidRPr="00874788">
        <w:rPr>
          <w:rFonts w:ascii="David" w:hAnsi="David" w:cs="David"/>
          <w:b/>
          <w:bCs/>
          <w:sz w:val="24"/>
          <w:szCs w:val="24"/>
          <w:u w:val="single"/>
          <w:rtl/>
        </w:rPr>
        <w:t>טענות הנתבע בתמצית</w:t>
      </w: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4.</w:t>
      </w:r>
      <w:r w:rsidRPr="00874788">
        <w:rPr>
          <w:rFonts w:ascii="David" w:hAnsi="David" w:cs="David"/>
          <w:sz w:val="24"/>
          <w:szCs w:val="24"/>
          <w:rtl/>
        </w:rPr>
        <w:tab/>
        <w:t xml:space="preserve">התובענה חסרת תום לב ולוקה בהסתרת מכתבים שיכולים היו לחסוך ההליך.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Pr>
          <w:rFonts w:ascii="David" w:hAnsi="David" w:cs="David"/>
          <w:sz w:val="24"/>
          <w:szCs w:val="24"/>
          <w:rtl/>
        </w:rPr>
        <w:t>5.</w:t>
      </w:r>
      <w:r>
        <w:rPr>
          <w:rFonts w:ascii="David" w:hAnsi="David" w:cs="David"/>
          <w:sz w:val="24"/>
          <w:szCs w:val="24"/>
          <w:rtl/>
        </w:rPr>
        <w:tab/>
        <w:t>הרפורמה בחברת ה</w:t>
      </w:r>
      <w:r>
        <w:rPr>
          <w:rFonts w:ascii="David" w:hAnsi="David" w:cs="David" w:hint="cs"/>
          <w:sz w:val="24"/>
          <w:szCs w:val="24"/>
          <w:rtl/>
        </w:rPr>
        <w:t>...</w:t>
      </w:r>
      <w:r w:rsidRPr="00874788">
        <w:rPr>
          <w:rFonts w:ascii="David" w:hAnsi="David" w:cs="David"/>
          <w:sz w:val="24"/>
          <w:szCs w:val="24"/>
          <w:rtl/>
        </w:rPr>
        <w:t xml:space="preserve"> משנת 2020 משנה את התוצאה החשבונאית אליה הגיע המומחה ורפורמה זו הוסתרה על ידי התובעת מן המומחה.</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6.</w:t>
      </w:r>
      <w:r w:rsidRPr="00874788">
        <w:rPr>
          <w:rFonts w:ascii="David" w:hAnsi="David" w:cs="David"/>
          <w:sz w:val="24"/>
          <w:szCs w:val="24"/>
          <w:rtl/>
        </w:rPr>
        <w:tab/>
        <w:t xml:space="preserve">יש להכריע גם בסוגיית ה"השבחה האקטיבית" שנזכרה בחוות דעת המומחה, גם לקבוע  ניכויי מס גם מחלק התובעת, אם בעתיד ישולם מס עבור מימוש עסקו של הנתבע ולחייב התובעת להעמיד בטוחה לפירעון מס עתידי פוטנציאלי שכזה.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7.</w:t>
      </w:r>
      <w:r w:rsidRPr="00874788">
        <w:rPr>
          <w:rFonts w:ascii="David" w:hAnsi="David" w:cs="David"/>
          <w:sz w:val="24"/>
          <w:szCs w:val="24"/>
          <w:rtl/>
        </w:rPr>
        <w:tab/>
        <w:t xml:space="preserve">התובעת לא הגיבה להצעות שונות שהוצעו.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8.</w:t>
      </w:r>
      <w:r w:rsidRPr="00874788">
        <w:rPr>
          <w:rFonts w:ascii="David" w:hAnsi="David" w:cs="David"/>
          <w:sz w:val="24"/>
          <w:szCs w:val="24"/>
          <w:rtl/>
        </w:rPr>
        <w:tab/>
        <w:t xml:space="preserve">משאבים יש לאזן במועד גמילתם על פי האופציה השנייה שבחוות הדעת.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b/>
          <w:bCs/>
          <w:sz w:val="24"/>
          <w:szCs w:val="24"/>
          <w:u w:val="single"/>
          <w:rtl/>
        </w:rPr>
        <w:t>דיון והכרעה</w:t>
      </w:r>
    </w:p>
    <w:p w:rsidR="00874788" w:rsidRPr="00874788" w:rsidRDefault="00874788" w:rsidP="00874788">
      <w:pPr>
        <w:spacing w:line="360" w:lineRule="auto"/>
        <w:ind w:left="720" w:hanging="720"/>
        <w:jc w:val="both"/>
        <w:rPr>
          <w:rFonts w:ascii="David" w:hAnsi="David" w:cs="David"/>
          <w:b/>
          <w:bCs/>
          <w:sz w:val="24"/>
          <w:szCs w:val="24"/>
          <w:u w:val="single"/>
          <w:rtl/>
        </w:rPr>
      </w:pPr>
      <w:r w:rsidRPr="00874788">
        <w:rPr>
          <w:rFonts w:ascii="David" w:hAnsi="David" w:cs="David"/>
          <w:b/>
          <w:bCs/>
          <w:sz w:val="24"/>
          <w:szCs w:val="24"/>
          <w:u w:val="single"/>
          <w:rtl/>
        </w:rPr>
        <w:t>על הדין</w:t>
      </w: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9.</w:t>
      </w:r>
      <w:r w:rsidRPr="00874788">
        <w:rPr>
          <w:rFonts w:ascii="David" w:hAnsi="David" w:cs="David"/>
          <w:sz w:val="24"/>
          <w:szCs w:val="24"/>
          <w:rtl/>
        </w:rPr>
        <w:tab/>
        <w:t xml:space="preserve">כידוע, הליך על פי סעיף </w:t>
      </w:r>
      <w:r w:rsidRPr="00874788">
        <w:rPr>
          <w:rFonts w:ascii="David" w:hAnsi="David" w:cs="David"/>
          <w:b/>
          <w:bCs/>
          <w:sz w:val="24"/>
          <w:szCs w:val="24"/>
          <w:rtl/>
        </w:rPr>
        <w:t>7</w:t>
      </w:r>
      <w:r w:rsidRPr="00874788">
        <w:rPr>
          <w:rFonts w:ascii="David" w:hAnsi="David" w:cs="David"/>
          <w:sz w:val="24"/>
          <w:szCs w:val="24"/>
          <w:rtl/>
        </w:rPr>
        <w:t xml:space="preserve"> לחוק בית המשפט לענייני משפחה הוא בבחינת חריג שכן הוא מעין משיק משולב של הליכי הוצל"פ והכרעה משפטית בבחינת מעין סעיף </w:t>
      </w:r>
      <w:r w:rsidRPr="00874788">
        <w:rPr>
          <w:rFonts w:ascii="David" w:hAnsi="David" w:cs="David"/>
          <w:b/>
          <w:bCs/>
          <w:sz w:val="24"/>
          <w:szCs w:val="24"/>
          <w:rtl/>
        </w:rPr>
        <w:t>12</w:t>
      </w:r>
      <w:r w:rsidRPr="00874788">
        <w:rPr>
          <w:rFonts w:ascii="David" w:hAnsi="David" w:cs="David"/>
          <w:sz w:val="24"/>
          <w:szCs w:val="24"/>
          <w:rtl/>
        </w:rPr>
        <w:t xml:space="preserve"> לחוק ההוצל"פ שהוא מובנה בדין.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10.</w:t>
      </w:r>
      <w:r w:rsidRPr="00874788">
        <w:rPr>
          <w:rFonts w:ascii="David" w:hAnsi="David" w:cs="David"/>
          <w:sz w:val="24"/>
          <w:szCs w:val="24"/>
          <w:rtl/>
        </w:rPr>
        <w:tab/>
        <w:t xml:space="preserve">זהו גם הטעם שבדין לפיו יורה בית המשפט האם הליך כזה יבורר בפניו (להלן: </w:t>
      </w:r>
      <w:r w:rsidRPr="00874788">
        <w:rPr>
          <w:rFonts w:ascii="David" w:hAnsi="David" w:cs="David"/>
          <w:b/>
          <w:bCs/>
          <w:sz w:val="24"/>
          <w:szCs w:val="24"/>
          <w:rtl/>
        </w:rPr>
        <w:t>"ברירת המחדל"</w:t>
      </w:r>
      <w:r w:rsidRPr="00874788">
        <w:rPr>
          <w:rFonts w:ascii="David" w:hAnsi="David" w:cs="David"/>
          <w:sz w:val="24"/>
          <w:szCs w:val="24"/>
          <w:rtl/>
        </w:rPr>
        <w:t xml:space="preserve">), שמא יופנה להוצל"פ.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11.</w:t>
      </w:r>
      <w:r w:rsidRPr="00874788">
        <w:rPr>
          <w:rFonts w:ascii="David" w:hAnsi="David" w:cs="David"/>
          <w:sz w:val="24"/>
          <w:szCs w:val="24"/>
          <w:rtl/>
        </w:rPr>
        <w:tab/>
        <w:t xml:space="preserve">ברירת המחדל מקבלת משנה חשיבות שעה שההכרעה בהוצל"פ מתקבלת על ידי הרשות המבצעת ולא הרשות השופטת, בבחינת טריבונל מעין שיפוטי ולא שיפוטי (וראה: בג"ץ 1901/94 </w:t>
      </w:r>
      <w:r w:rsidRPr="00874788">
        <w:rPr>
          <w:rFonts w:ascii="David" w:hAnsi="David" w:cs="David"/>
          <w:b/>
          <w:bCs/>
          <w:sz w:val="24"/>
          <w:szCs w:val="24"/>
          <w:rtl/>
        </w:rPr>
        <w:t>לנדאו נ' עיריית ירושלים</w:t>
      </w:r>
      <w:r w:rsidRPr="00874788">
        <w:rPr>
          <w:rFonts w:ascii="David" w:hAnsi="David" w:cs="David"/>
          <w:sz w:val="24"/>
          <w:szCs w:val="24"/>
          <w:rtl/>
        </w:rPr>
        <w:t xml:space="preserve">, מח(4) 403 {פמ"מ – 19.07.1994}). </w:t>
      </w:r>
    </w:p>
    <w:p w:rsidR="00874788" w:rsidRPr="00874788" w:rsidRDefault="00874788" w:rsidP="00874788">
      <w:pPr>
        <w:spacing w:line="360" w:lineRule="auto"/>
        <w:ind w:left="720" w:hanging="720"/>
        <w:jc w:val="both"/>
        <w:rPr>
          <w:rFonts w:ascii="David" w:hAnsi="David" w:cs="David"/>
          <w:sz w:val="24"/>
          <w:szCs w:val="24"/>
          <w:rtl/>
        </w:rPr>
      </w:pPr>
    </w:p>
    <w:p w:rsid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lastRenderedPageBreak/>
        <w:t>12.</w:t>
      </w:r>
      <w:r w:rsidRPr="00874788">
        <w:rPr>
          <w:rFonts w:ascii="David" w:hAnsi="David" w:cs="David"/>
          <w:sz w:val="24"/>
          <w:szCs w:val="24"/>
          <w:rtl/>
        </w:rPr>
        <w:tab/>
        <w:t xml:space="preserve">מתי יופנה תיק להוצל"פ? דומה שהתשובה פשוטה. מקום בו יש צורך בהכרעה שיפוטית שאינה "טענת פרעתי" גרידא, ידון בעניין בית המשפט.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13.</w:t>
      </w:r>
      <w:r w:rsidRPr="00874788">
        <w:rPr>
          <w:rFonts w:ascii="David" w:hAnsi="David" w:cs="David"/>
          <w:sz w:val="24"/>
          <w:szCs w:val="24"/>
          <w:rtl/>
        </w:rPr>
        <w:tab/>
        <w:t xml:space="preserve">ונאמר כי יתכן גם יתכן שאגב דיון בסעיף </w:t>
      </w:r>
      <w:r w:rsidRPr="00874788">
        <w:rPr>
          <w:rFonts w:ascii="David" w:hAnsi="David" w:cs="David"/>
          <w:b/>
          <w:bCs/>
          <w:sz w:val="24"/>
          <w:szCs w:val="24"/>
          <w:rtl/>
        </w:rPr>
        <w:t>7</w:t>
      </w:r>
      <w:r w:rsidRPr="00874788">
        <w:rPr>
          <w:rFonts w:ascii="David" w:hAnsi="David" w:cs="David"/>
          <w:sz w:val="24"/>
          <w:szCs w:val="24"/>
          <w:rtl/>
        </w:rPr>
        <w:t xml:space="preserve"> לחוק בית המשפט לענייני משפחה, שזו לשונו: </w:t>
      </w:r>
    </w:p>
    <w:p w:rsidR="00874788" w:rsidRPr="00874788" w:rsidRDefault="00874788" w:rsidP="00874788">
      <w:pPr>
        <w:spacing w:line="360" w:lineRule="auto"/>
        <w:ind w:left="720"/>
        <w:jc w:val="both"/>
        <w:rPr>
          <w:rFonts w:ascii="David" w:hAnsi="David" w:cs="David"/>
          <w:b/>
          <w:bCs/>
          <w:sz w:val="24"/>
          <w:szCs w:val="24"/>
          <w:rtl/>
        </w:rPr>
      </w:pPr>
      <w:r w:rsidRPr="00874788">
        <w:rPr>
          <w:rFonts w:ascii="David" w:hAnsi="David" w:cs="David"/>
          <w:b/>
          <w:bCs/>
          <w:sz w:val="24"/>
          <w:szCs w:val="24"/>
          <w:rtl/>
        </w:rPr>
        <w:t xml:space="preserve">"הליכי ביצוע בתובענה לאיזון משאבים בין בני זוג או בתובענה לפירוק שיתוף בנכס של בני זוג או בתובענה בענינו של קטין, למעט בעניני רכושו, יבוצעו על פי החלטת בית המשפט לעניני משפחה ובפיקוחו, זולת אם הורה בית המשפט על ביצועם באמצעות לשכת ההוצאה לפועל; כן רשאי בית המשפט להורות על ביצועם בדרך אחרת הנראית לו יעילה וצודקת יותר בנסיבות הענין", </w:t>
      </w:r>
      <w:r w:rsidRPr="00874788">
        <w:rPr>
          <w:rFonts w:ascii="David" w:hAnsi="David" w:cs="David"/>
          <w:sz w:val="24"/>
          <w:szCs w:val="24"/>
          <w:rtl/>
        </w:rPr>
        <w:t xml:space="preserve">יכריע בית המשפט בדרוש הכרעה ואת הסוגיה החשבונאית יעביר להליך הוצל"פ. </w:t>
      </w:r>
    </w:p>
    <w:p w:rsidR="00874788" w:rsidRPr="00874788" w:rsidRDefault="00874788" w:rsidP="00874788">
      <w:pPr>
        <w:spacing w:line="360" w:lineRule="auto"/>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b/>
          <w:bCs/>
          <w:sz w:val="24"/>
          <w:szCs w:val="24"/>
          <w:u w:val="single"/>
          <w:rtl/>
        </w:rPr>
        <w:t>ככלים לעת מתן חוות דעת חשבונאית</w:t>
      </w: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14.</w:t>
      </w:r>
      <w:r w:rsidRPr="00874788">
        <w:rPr>
          <w:rFonts w:ascii="David" w:hAnsi="David" w:cs="David"/>
          <w:sz w:val="24"/>
          <w:szCs w:val="24"/>
          <w:rtl/>
        </w:rPr>
        <w:tab/>
        <w:t>בהינתן חוות דעת חשבונאית (זו המכונה בפני העם, חוות דעת "אקטואר"), צריכים הצדדים לפעול על פיה בהקדם האפשרי.</w:t>
      </w:r>
    </w:p>
    <w:p w:rsidR="00874788" w:rsidRPr="00874788" w:rsidRDefault="00874788" w:rsidP="00874788">
      <w:pPr>
        <w:spacing w:line="360" w:lineRule="auto"/>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15.</w:t>
      </w:r>
      <w:r w:rsidRPr="00874788">
        <w:rPr>
          <w:rFonts w:ascii="David" w:hAnsi="David" w:cs="David"/>
          <w:sz w:val="24"/>
          <w:szCs w:val="24"/>
          <w:rtl/>
        </w:rPr>
        <w:tab/>
        <w:t>"גרירת רגליים" על ידי צד בלא טעם של ממש, עשוייה על נקלה להיחשב כחוסר תום לב דיוני.</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16.</w:t>
      </w:r>
      <w:r w:rsidRPr="00874788">
        <w:rPr>
          <w:rFonts w:ascii="David" w:hAnsi="David" w:cs="David"/>
          <w:sz w:val="24"/>
          <w:szCs w:val="24"/>
          <w:rtl/>
        </w:rPr>
        <w:tab/>
        <w:t xml:space="preserve">פעולה על פי חוות הדעת יכולה להיות או על פי המלצותיה או אקט פעיל של הגשת תובענה על פי סעיף </w:t>
      </w:r>
      <w:r w:rsidRPr="00874788">
        <w:rPr>
          <w:rFonts w:ascii="David" w:hAnsi="David" w:cs="David"/>
          <w:b/>
          <w:bCs/>
          <w:sz w:val="24"/>
          <w:szCs w:val="24"/>
          <w:rtl/>
        </w:rPr>
        <w:t>7</w:t>
      </w:r>
      <w:r w:rsidRPr="00874788">
        <w:rPr>
          <w:rFonts w:ascii="David" w:hAnsi="David" w:cs="David"/>
          <w:sz w:val="24"/>
          <w:szCs w:val="24"/>
          <w:rtl/>
        </w:rPr>
        <w:t xml:space="preserve">, על מנת לחקור את המומחה, אך החולק על חוות הדעת, אינו יכול או צריך לנהוג ב"שב ואל תעשה" על מנת להימנע מתשלום.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17.</w:t>
      </w:r>
      <w:r w:rsidRPr="00874788">
        <w:rPr>
          <w:rFonts w:ascii="David" w:hAnsi="David" w:cs="David"/>
          <w:sz w:val="24"/>
          <w:szCs w:val="24"/>
          <w:rtl/>
        </w:rPr>
        <w:tab/>
        <w:t xml:space="preserve">אין עורר כי כבר ביום  25.10.2023 הגיעו הצדדים (שנתיים וחצי לאחר פסק הדין) לחוות דעת סופית של המומחה.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18.</w:t>
      </w:r>
      <w:r w:rsidRPr="00874788">
        <w:rPr>
          <w:rFonts w:ascii="David" w:hAnsi="David" w:cs="David"/>
          <w:sz w:val="24"/>
          <w:szCs w:val="24"/>
          <w:rtl/>
        </w:rPr>
        <w:tab/>
        <w:t xml:space="preserve">אף על פי כן לא ביצע הנתבע את האמור בחוות הדעת בנימוק לפיו זו "טרם אושרה".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lastRenderedPageBreak/>
        <w:t>19.</w:t>
      </w:r>
      <w:r w:rsidRPr="00874788">
        <w:rPr>
          <w:rFonts w:ascii="David" w:hAnsi="David" w:cs="David"/>
          <w:sz w:val="24"/>
          <w:szCs w:val="24"/>
          <w:rtl/>
        </w:rPr>
        <w:tab/>
        <w:t xml:space="preserve">חוות הדעת אינה זקוקה לאישור על מנת לפעול על פיה או לנסות ולתקוף אותה וצד הנוהג כך, לאמור דורש "אישור", נתפס כמי שמתחמק מן התשלום.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20.</w:t>
      </w:r>
      <w:r w:rsidRPr="00874788">
        <w:rPr>
          <w:rFonts w:ascii="David" w:hAnsi="David" w:cs="David"/>
          <w:sz w:val="24"/>
          <w:szCs w:val="24"/>
          <w:rtl/>
        </w:rPr>
        <w:tab/>
        <w:t xml:space="preserve">למעשה חוות הדעת כבר הייתה מונחת בפני הנתבע עוד ביום 13.7.2022.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21.</w:t>
      </w:r>
      <w:r w:rsidRPr="00874788">
        <w:rPr>
          <w:rFonts w:ascii="David" w:hAnsi="David" w:cs="David"/>
          <w:sz w:val="24"/>
          <w:szCs w:val="24"/>
          <w:rtl/>
        </w:rPr>
        <w:tab/>
        <w:t xml:space="preserve">אין עורר כי גם בכאן לא ביקש הנתבע לחקור את המומחה.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22.</w:t>
      </w:r>
      <w:r w:rsidRPr="00874788">
        <w:rPr>
          <w:rFonts w:ascii="David" w:hAnsi="David" w:cs="David"/>
          <w:sz w:val="24"/>
          <w:szCs w:val="24"/>
          <w:rtl/>
        </w:rPr>
        <w:tab/>
        <w:t xml:space="preserve">כתבה התובעת בסעיף 9 לסיכומיה כך: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1440" w:right="851"/>
        <w:jc w:val="both"/>
        <w:rPr>
          <w:rFonts w:ascii="David" w:hAnsi="David" w:cs="David"/>
          <w:b/>
          <w:bCs/>
          <w:sz w:val="24"/>
          <w:szCs w:val="24"/>
          <w:rtl/>
        </w:rPr>
      </w:pPr>
      <w:r w:rsidRPr="00874788">
        <w:rPr>
          <w:rFonts w:ascii="David" w:hAnsi="David" w:cs="David"/>
          <w:b/>
          <w:bCs/>
          <w:sz w:val="24"/>
          <w:szCs w:val="24"/>
          <w:rtl/>
        </w:rPr>
        <w:t>"מן המקובץ, התובעת נדרשה להגשת התביעה בשל התנהגותו חסרת תום הלב של הנתבע ובכדי לזכות בזכויותיה מתוקף חוו"ד כאשר בית המשפט הנכבד חתם ביום 26.10.23 על פסיקתא לאיזון זכויות הצדדים לפי חוק חלוקת חיסכון פנסיוני, במסגרתה נקבע כי הנתבע חייב לתובעת סך של 233,938 ₪, וראה:</w:t>
      </w:r>
    </w:p>
    <w:p w:rsidR="00874788" w:rsidRPr="00874788" w:rsidRDefault="00874788" w:rsidP="00874788">
      <w:pPr>
        <w:spacing w:line="360" w:lineRule="auto"/>
        <w:ind w:left="1440" w:right="851"/>
        <w:jc w:val="both"/>
        <w:rPr>
          <w:rFonts w:ascii="David" w:hAnsi="David" w:cs="David"/>
          <w:sz w:val="24"/>
          <w:szCs w:val="24"/>
          <w:rtl/>
        </w:rPr>
      </w:pPr>
      <w:r w:rsidRPr="00874788">
        <w:rPr>
          <w:rFonts w:ascii="David" w:hAnsi="David" w:cs="David"/>
          <w:b/>
          <w:bCs/>
          <w:sz w:val="24"/>
          <w:szCs w:val="24"/>
          <w:u w:val="single"/>
          <w:rtl/>
        </w:rPr>
        <w:t>כלומר, בחלופה זו על הצדדים לנהוג כדלקמן:</w:t>
      </w:r>
    </w:p>
    <w:p w:rsidR="00874788" w:rsidRPr="00874788" w:rsidRDefault="00874788" w:rsidP="00874788">
      <w:pPr>
        <w:spacing w:line="360" w:lineRule="auto"/>
        <w:ind w:left="1440" w:right="851"/>
        <w:jc w:val="both"/>
        <w:rPr>
          <w:rFonts w:ascii="David" w:hAnsi="David" w:cs="David"/>
          <w:b/>
          <w:bCs/>
          <w:sz w:val="24"/>
          <w:szCs w:val="24"/>
          <w:rtl/>
        </w:rPr>
      </w:pPr>
      <w:r w:rsidRPr="00874788">
        <w:rPr>
          <w:rFonts w:ascii="David" w:hAnsi="David" w:cs="David"/>
          <w:b/>
          <w:bCs/>
          <w:sz w:val="24"/>
          <w:szCs w:val="24"/>
          <w:rtl/>
        </w:rPr>
        <w:t>1.</w:t>
      </w:r>
      <w:r w:rsidRPr="00874788">
        <w:rPr>
          <w:rFonts w:ascii="David" w:hAnsi="David" w:cs="David"/>
          <w:b/>
          <w:bCs/>
          <w:sz w:val="24"/>
          <w:szCs w:val="24"/>
          <w:rtl/>
        </w:rPr>
        <w:tab/>
        <w:t xml:space="preserve">הבעל יעביר לאישה תשלום איזון בסך 233,938 ₪. </w:t>
      </w:r>
    </w:p>
    <w:p w:rsidR="00874788" w:rsidRPr="00874788" w:rsidRDefault="00874788" w:rsidP="00874788">
      <w:pPr>
        <w:spacing w:line="360" w:lineRule="auto"/>
        <w:ind w:left="2160" w:right="851" w:hanging="720"/>
        <w:jc w:val="both"/>
        <w:rPr>
          <w:rFonts w:ascii="David" w:hAnsi="David" w:cs="David"/>
          <w:b/>
          <w:bCs/>
          <w:sz w:val="24"/>
          <w:szCs w:val="24"/>
          <w:rtl/>
        </w:rPr>
      </w:pPr>
      <w:r w:rsidRPr="00874788">
        <w:rPr>
          <w:rFonts w:ascii="David" w:hAnsi="David" w:cs="David"/>
          <w:b/>
          <w:bCs/>
          <w:sz w:val="24"/>
          <w:szCs w:val="24"/>
          <w:rtl/>
        </w:rPr>
        <w:t>2.</w:t>
      </w:r>
      <w:r w:rsidRPr="00874788">
        <w:rPr>
          <w:rFonts w:ascii="David" w:hAnsi="David" w:cs="David"/>
          <w:b/>
          <w:bCs/>
          <w:sz w:val="24"/>
          <w:szCs w:val="24"/>
          <w:rtl/>
        </w:rPr>
        <w:tab/>
        <w:t xml:space="preserve">הבעל יישאר הבעלים של הנכסים הרשומים על שמו </w:t>
      </w:r>
      <w:r w:rsidRPr="00874788">
        <w:rPr>
          <w:rFonts w:ascii="David" w:hAnsi="David" w:cs="David"/>
          <w:b/>
          <w:bCs/>
          <w:sz w:val="24"/>
          <w:szCs w:val="24"/>
          <w:u w:val="single"/>
          <w:rtl/>
        </w:rPr>
        <w:t>במשותף</w:t>
      </w:r>
      <w:r w:rsidRPr="00874788">
        <w:rPr>
          <w:rFonts w:ascii="David" w:hAnsi="David" w:cs="David"/>
          <w:b/>
          <w:bCs/>
          <w:sz w:val="24"/>
          <w:szCs w:val="24"/>
          <w:rtl/>
        </w:rPr>
        <w:t xml:space="preserve"> לפי טבלה 2 המעודכנת.</w:t>
      </w:r>
      <w:r w:rsidRPr="00874788">
        <w:rPr>
          <w:rFonts w:ascii="David" w:hAnsi="David" w:cs="David"/>
          <w:b/>
          <w:bCs/>
          <w:sz w:val="24"/>
          <w:szCs w:val="24"/>
        </w:rPr>
        <w:t xml:space="preserve"> </w:t>
      </w:r>
    </w:p>
    <w:p w:rsidR="00874788" w:rsidRPr="00874788" w:rsidRDefault="00874788" w:rsidP="00874788">
      <w:pPr>
        <w:spacing w:line="360" w:lineRule="auto"/>
        <w:ind w:left="2160" w:right="851" w:hanging="720"/>
        <w:jc w:val="both"/>
        <w:rPr>
          <w:rFonts w:ascii="David" w:hAnsi="David" w:cs="David"/>
          <w:b/>
          <w:bCs/>
          <w:sz w:val="24"/>
          <w:szCs w:val="24"/>
          <w:rtl/>
        </w:rPr>
      </w:pPr>
      <w:r w:rsidRPr="00874788">
        <w:rPr>
          <w:rFonts w:ascii="David" w:hAnsi="David" w:cs="David"/>
          <w:b/>
          <w:bCs/>
          <w:sz w:val="24"/>
          <w:szCs w:val="24"/>
          <w:rtl/>
        </w:rPr>
        <w:t>3.</w:t>
      </w:r>
      <w:r w:rsidRPr="00874788">
        <w:rPr>
          <w:rFonts w:ascii="David" w:hAnsi="David" w:cs="David"/>
          <w:b/>
          <w:bCs/>
          <w:sz w:val="24"/>
          <w:szCs w:val="24"/>
          <w:rtl/>
        </w:rPr>
        <w:tab/>
        <w:t xml:space="preserve">האישה תישאר הבעלים של הנכסים הרשומים על שמה לפי טבלה 2 המעודכנת. </w:t>
      </w:r>
    </w:p>
    <w:p w:rsidR="00874788" w:rsidRPr="00874788" w:rsidRDefault="00874788" w:rsidP="00874788">
      <w:pPr>
        <w:spacing w:line="360" w:lineRule="auto"/>
        <w:ind w:left="2160" w:right="851" w:hanging="720"/>
        <w:jc w:val="both"/>
        <w:rPr>
          <w:rFonts w:ascii="David" w:hAnsi="David" w:cs="David"/>
          <w:b/>
          <w:bCs/>
          <w:sz w:val="24"/>
          <w:szCs w:val="24"/>
          <w:rtl/>
        </w:rPr>
      </w:pPr>
      <w:r w:rsidRPr="00874788">
        <w:rPr>
          <w:rFonts w:ascii="David" w:hAnsi="David" w:cs="David"/>
          <w:b/>
          <w:bCs/>
          <w:sz w:val="24"/>
          <w:szCs w:val="24"/>
          <w:rtl/>
        </w:rPr>
        <w:t>4.</w:t>
      </w:r>
      <w:r w:rsidRPr="00874788">
        <w:rPr>
          <w:rFonts w:ascii="David" w:hAnsi="David" w:cs="David"/>
          <w:b/>
          <w:bCs/>
          <w:sz w:val="24"/>
          <w:szCs w:val="24"/>
          <w:rtl/>
        </w:rPr>
        <w:tab/>
        <w:t>בנוסף, זכות נוספת של האי</w:t>
      </w:r>
      <w:r>
        <w:rPr>
          <w:rFonts w:ascii="David" w:hAnsi="David" w:cs="David"/>
          <w:b/>
          <w:bCs/>
          <w:sz w:val="24"/>
          <w:szCs w:val="24"/>
          <w:rtl/>
        </w:rPr>
        <w:t>שה בגין תוספת רפורמה מחברת ה</w:t>
      </w:r>
      <w:r>
        <w:rPr>
          <w:rFonts w:ascii="David" w:hAnsi="David" w:cs="David" w:hint="cs"/>
          <w:b/>
          <w:bCs/>
          <w:sz w:val="24"/>
          <w:szCs w:val="24"/>
          <w:rtl/>
        </w:rPr>
        <w:t>...</w:t>
      </w:r>
      <w:r w:rsidRPr="00874788">
        <w:rPr>
          <w:rFonts w:ascii="David" w:hAnsi="David" w:cs="David"/>
          <w:b/>
          <w:bCs/>
          <w:sz w:val="24"/>
          <w:szCs w:val="24"/>
          <w:rtl/>
        </w:rPr>
        <w:t xml:space="preserve"> במועד פרישתה תאוזן בהתאם לנוסחה שבהערה 11 ד' לחוות דעתו המקורית. </w:t>
      </w:r>
    </w:p>
    <w:p w:rsidR="00874788" w:rsidRPr="00874788" w:rsidRDefault="00874788" w:rsidP="00874788">
      <w:pPr>
        <w:spacing w:line="360" w:lineRule="auto"/>
        <w:ind w:left="2160" w:right="851" w:hanging="720"/>
        <w:jc w:val="both"/>
        <w:rPr>
          <w:rFonts w:ascii="David" w:hAnsi="David" w:cs="David"/>
          <w:b/>
          <w:bCs/>
          <w:sz w:val="24"/>
          <w:szCs w:val="24"/>
          <w:rtl/>
        </w:rPr>
      </w:pPr>
      <w:r w:rsidRPr="00874788">
        <w:rPr>
          <w:rFonts w:ascii="David" w:hAnsi="David" w:cs="David"/>
          <w:b/>
          <w:bCs/>
          <w:sz w:val="24"/>
          <w:szCs w:val="24"/>
          <w:rtl/>
        </w:rPr>
        <w:t>5.</w:t>
      </w:r>
      <w:r w:rsidRPr="00874788">
        <w:rPr>
          <w:rFonts w:ascii="David" w:hAnsi="David" w:cs="David"/>
          <w:b/>
          <w:bCs/>
          <w:sz w:val="24"/>
          <w:szCs w:val="24"/>
          <w:rtl/>
        </w:rPr>
        <w:tab/>
        <w:t>איזון המקרקעין בתיק זה מבוצע בדרך של כינוס נכסים כאמור בפסק דינו של כבוד בית המשפט".</w:t>
      </w:r>
    </w:p>
    <w:p w:rsidR="00874788" w:rsidRPr="00874788" w:rsidRDefault="00874788" w:rsidP="00874788">
      <w:pPr>
        <w:spacing w:line="360" w:lineRule="auto"/>
        <w:jc w:val="both"/>
        <w:rPr>
          <w:rFonts w:ascii="David" w:hAnsi="David" w:cs="David"/>
          <w:sz w:val="24"/>
          <w:szCs w:val="24"/>
          <w:rtl/>
        </w:rPr>
      </w:pPr>
    </w:p>
    <w:p w:rsidR="00874788" w:rsidRPr="00874788" w:rsidRDefault="00874788" w:rsidP="00874788">
      <w:pPr>
        <w:spacing w:line="360" w:lineRule="auto"/>
        <w:jc w:val="both"/>
        <w:rPr>
          <w:rFonts w:ascii="David" w:hAnsi="David" w:cs="David"/>
          <w:sz w:val="24"/>
          <w:szCs w:val="24"/>
          <w:rtl/>
        </w:rPr>
      </w:pPr>
      <w:r w:rsidRPr="00874788">
        <w:rPr>
          <w:rFonts w:ascii="David" w:hAnsi="David" w:cs="David"/>
          <w:sz w:val="24"/>
          <w:szCs w:val="24"/>
          <w:rtl/>
        </w:rPr>
        <w:t>23.</w:t>
      </w:r>
      <w:r w:rsidRPr="00874788">
        <w:rPr>
          <w:rFonts w:ascii="David" w:hAnsi="David" w:cs="David"/>
          <w:sz w:val="24"/>
          <w:szCs w:val="24"/>
          <w:rtl/>
        </w:rPr>
        <w:tab/>
        <w:t xml:space="preserve">התנהלות הנתבע נראית ככזו שאינה נאותה גם כאשר מעיינים בסיכומיו. </w:t>
      </w:r>
    </w:p>
    <w:p w:rsidR="00874788" w:rsidRPr="00874788" w:rsidRDefault="00874788" w:rsidP="00874788">
      <w:pPr>
        <w:spacing w:line="360" w:lineRule="auto"/>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24.</w:t>
      </w:r>
      <w:r w:rsidRPr="00874788">
        <w:rPr>
          <w:rFonts w:ascii="David" w:hAnsi="David" w:cs="David"/>
          <w:sz w:val="24"/>
          <w:szCs w:val="24"/>
          <w:rtl/>
        </w:rPr>
        <w:tab/>
        <w:t xml:space="preserve">העובדה כי הנתבע טען כי יש להביא בנוסף </w:t>
      </w:r>
      <w:r>
        <w:rPr>
          <w:rFonts w:ascii="David" w:hAnsi="David" w:cs="David"/>
          <w:sz w:val="24"/>
          <w:szCs w:val="24"/>
          <w:rtl/>
        </w:rPr>
        <w:t>רפורמה  נוספת שנערכה בחברת ה</w:t>
      </w:r>
      <w:r>
        <w:rPr>
          <w:rFonts w:ascii="David" w:hAnsi="David" w:cs="David" w:hint="cs"/>
          <w:sz w:val="24"/>
          <w:szCs w:val="24"/>
          <w:rtl/>
        </w:rPr>
        <w:t>...</w:t>
      </w:r>
      <w:r w:rsidRPr="00874788">
        <w:rPr>
          <w:rFonts w:ascii="David" w:hAnsi="David" w:cs="David"/>
          <w:sz w:val="24"/>
          <w:szCs w:val="24"/>
          <w:rtl/>
        </w:rPr>
        <w:t xml:space="preserve"> בה עובדת הנתבעת בשנת 2020, אינה יכולה לעמוד מכמה טעמים: </w:t>
      </w:r>
    </w:p>
    <w:p w:rsidR="00874788" w:rsidRPr="00874788" w:rsidRDefault="00874788" w:rsidP="00874788">
      <w:pPr>
        <w:pStyle w:val="a9"/>
        <w:numPr>
          <w:ilvl w:val="0"/>
          <w:numId w:val="1"/>
        </w:numPr>
        <w:spacing w:line="360" w:lineRule="auto"/>
        <w:jc w:val="both"/>
        <w:rPr>
          <w:rFonts w:ascii="David" w:hAnsi="David"/>
          <w:noProof w:val="0"/>
          <w:rtl/>
        </w:rPr>
      </w:pPr>
      <w:r w:rsidRPr="00874788">
        <w:rPr>
          <w:rFonts w:ascii="David" w:hAnsi="David"/>
          <w:noProof w:val="0"/>
          <w:rtl/>
        </w:rPr>
        <w:t xml:space="preserve">מועד הקרע היה לפני הרפורמה החדשה. </w:t>
      </w:r>
    </w:p>
    <w:p w:rsidR="00874788" w:rsidRPr="00874788" w:rsidRDefault="00874788" w:rsidP="00874788">
      <w:pPr>
        <w:pStyle w:val="a9"/>
        <w:numPr>
          <w:ilvl w:val="0"/>
          <w:numId w:val="1"/>
        </w:numPr>
        <w:spacing w:line="360" w:lineRule="auto"/>
        <w:jc w:val="both"/>
        <w:rPr>
          <w:rFonts w:ascii="David" w:hAnsi="David"/>
          <w:noProof w:val="0"/>
        </w:rPr>
      </w:pPr>
      <w:r w:rsidRPr="00874788">
        <w:rPr>
          <w:rFonts w:ascii="David" w:hAnsi="David"/>
          <w:noProof w:val="0"/>
          <w:rtl/>
        </w:rPr>
        <w:t xml:space="preserve">הנתבע לא ביקש לחקור את המומחה. </w:t>
      </w:r>
    </w:p>
    <w:p w:rsidR="00874788" w:rsidRPr="00874788" w:rsidRDefault="00874788" w:rsidP="00874788">
      <w:pPr>
        <w:pStyle w:val="a9"/>
        <w:numPr>
          <w:ilvl w:val="0"/>
          <w:numId w:val="1"/>
        </w:numPr>
        <w:spacing w:line="360" w:lineRule="auto"/>
        <w:jc w:val="both"/>
        <w:rPr>
          <w:rFonts w:ascii="David" w:hAnsi="David"/>
          <w:noProof w:val="0"/>
        </w:rPr>
      </w:pPr>
      <w:r w:rsidRPr="00874788">
        <w:rPr>
          <w:rFonts w:ascii="David" w:hAnsi="David"/>
          <w:noProof w:val="0"/>
          <w:rtl/>
        </w:rPr>
        <w:t xml:space="preserve">הנתבע לא עתר במאומה, גם לא לעניין טענתו לחיובי מס עתידיים אם יחולו בכלל כאלה ומקומן של טענות אלו היה בפני המומחה. </w:t>
      </w:r>
    </w:p>
    <w:p w:rsidR="00874788" w:rsidRPr="00874788" w:rsidRDefault="00874788" w:rsidP="00874788">
      <w:pPr>
        <w:spacing w:line="360" w:lineRule="auto"/>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25.</w:t>
      </w:r>
      <w:r w:rsidRPr="00874788">
        <w:rPr>
          <w:rFonts w:ascii="David" w:hAnsi="David" w:cs="David"/>
          <w:sz w:val="24"/>
          <w:szCs w:val="24"/>
          <w:rtl/>
        </w:rPr>
        <w:tab/>
        <w:t xml:space="preserve">כל הטענות לעיל בגינן לא עתר הנתבע עד שהוגש ההליך כנגדו ואין הוא אוחז בפסק דין חלוט בגינן, לא יכלו לשמש בידו תירוץ שלא לפרוע את שיש בגינו מעשה בית דין.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26.</w:t>
      </w:r>
      <w:r w:rsidRPr="00874788">
        <w:rPr>
          <w:rFonts w:ascii="David" w:hAnsi="David" w:cs="David"/>
          <w:sz w:val="24"/>
          <w:szCs w:val="24"/>
          <w:rtl/>
        </w:rPr>
        <w:tab/>
        <w:t xml:space="preserve">כאשר אדם כמו הנתבע פשיטא נמנע מן התשלום והוא רק כותב לצד שכנגד מכתב שלא נענה, אין בכך כדי ליתן לו היתר לעשות דין עצמי ולהימנע מן התשלום.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27.</w:t>
      </w:r>
      <w:r w:rsidRPr="00874788">
        <w:rPr>
          <w:rFonts w:ascii="David" w:hAnsi="David" w:cs="David"/>
          <w:sz w:val="24"/>
          <w:szCs w:val="24"/>
          <w:rtl/>
        </w:rPr>
        <w:tab/>
        <w:t xml:space="preserve">על פי דין גם לא יכול הנתבע להימנע מן התשלום על דרך מתן הצעה להיוון זכויות פנסיוניות. </w:t>
      </w: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ab/>
        <w:t xml:space="preserve">כללו של דין הוא שבאין הסכמה, מחלקים זכויות במועד גמילתן ובאין סיבה מיוחדת אין כופים היוון (וראה: בע"מ 5060/10 </w:t>
      </w:r>
      <w:r w:rsidRPr="00874788">
        <w:rPr>
          <w:rFonts w:ascii="David" w:hAnsi="David" w:cs="David"/>
          <w:b/>
          <w:bCs/>
          <w:sz w:val="24"/>
          <w:szCs w:val="24"/>
          <w:rtl/>
        </w:rPr>
        <w:t>פלונית נ' פלוני</w:t>
      </w:r>
      <w:r w:rsidRPr="00874788">
        <w:rPr>
          <w:rFonts w:ascii="David" w:hAnsi="David" w:cs="David"/>
          <w:sz w:val="24"/>
          <w:szCs w:val="24"/>
          <w:rtl/>
        </w:rPr>
        <w:t xml:space="preserve"> {פמ"מ – 11.08.2010}).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b/>
          <w:bCs/>
          <w:sz w:val="24"/>
          <w:szCs w:val="24"/>
          <w:u w:val="single"/>
          <w:rtl/>
        </w:rPr>
        <w:t>סוף דבר</w:t>
      </w: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28.</w:t>
      </w:r>
      <w:r w:rsidRPr="00874788">
        <w:rPr>
          <w:rFonts w:ascii="David" w:hAnsi="David" w:cs="David"/>
          <w:sz w:val="24"/>
          <w:szCs w:val="24"/>
          <w:rtl/>
        </w:rPr>
        <w:tab/>
        <w:t xml:space="preserve">התובענה מתקבלת.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29.</w:t>
      </w:r>
      <w:r w:rsidRPr="00874788">
        <w:rPr>
          <w:rFonts w:ascii="David" w:hAnsi="David" w:cs="David"/>
          <w:sz w:val="24"/>
          <w:szCs w:val="24"/>
          <w:rtl/>
        </w:rPr>
        <w:tab/>
        <w:t xml:space="preserve">חוות הדעת מקבלת תוקף של פסק דין.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30.</w:t>
      </w:r>
      <w:r w:rsidRPr="00874788">
        <w:rPr>
          <w:rFonts w:ascii="David" w:hAnsi="David" w:cs="David"/>
          <w:sz w:val="24"/>
          <w:szCs w:val="24"/>
          <w:rtl/>
        </w:rPr>
        <w:tab/>
        <w:t xml:space="preserve">חיובי הנתבע כלפי התובעת ועל פי חוות הדעת יישאו ריבית והצמדה כחוק מיום מועד הקרע.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31.</w:t>
      </w:r>
      <w:r w:rsidRPr="00874788">
        <w:rPr>
          <w:rFonts w:ascii="David" w:hAnsi="David" w:cs="David"/>
          <w:sz w:val="24"/>
          <w:szCs w:val="24"/>
          <w:rtl/>
        </w:rPr>
        <w:tab/>
        <w:t xml:space="preserve">התובעת רשאית להגיש פסיקתאות לחתימתי.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32.</w:t>
      </w:r>
      <w:r w:rsidRPr="00874788">
        <w:rPr>
          <w:rFonts w:ascii="David" w:hAnsi="David" w:cs="David"/>
          <w:sz w:val="24"/>
          <w:szCs w:val="24"/>
          <w:rtl/>
        </w:rPr>
        <w:tab/>
        <w:t xml:space="preserve">הנתבע יישא בהוצאות התובעת בסך 30,000 ₪.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33.</w:t>
      </w:r>
      <w:r w:rsidRPr="00874788">
        <w:rPr>
          <w:rFonts w:ascii="David" w:hAnsi="David" w:cs="David"/>
          <w:sz w:val="24"/>
          <w:szCs w:val="24"/>
          <w:rtl/>
        </w:rPr>
        <w:tab/>
        <w:t xml:space="preserve">ניתן לפרסם פסק דין זה בלא פרט מזהה אודות הצדדים. </w:t>
      </w:r>
    </w:p>
    <w:p w:rsidR="00874788" w:rsidRPr="00874788" w:rsidRDefault="00874788" w:rsidP="00874788">
      <w:pPr>
        <w:spacing w:line="360" w:lineRule="auto"/>
        <w:ind w:left="720" w:hanging="720"/>
        <w:jc w:val="both"/>
        <w:rPr>
          <w:rFonts w:ascii="David" w:hAnsi="David" w:cs="David"/>
          <w:sz w:val="24"/>
          <w:szCs w:val="24"/>
          <w:rtl/>
        </w:rPr>
      </w:pPr>
    </w:p>
    <w:p w:rsidR="00874788" w:rsidRPr="00874788" w:rsidRDefault="00874788" w:rsidP="00874788">
      <w:pPr>
        <w:spacing w:line="360" w:lineRule="auto"/>
        <w:ind w:left="720" w:hanging="720"/>
        <w:jc w:val="both"/>
        <w:rPr>
          <w:rFonts w:ascii="David" w:hAnsi="David" w:cs="David"/>
          <w:sz w:val="24"/>
          <w:szCs w:val="24"/>
          <w:rtl/>
        </w:rPr>
      </w:pPr>
      <w:r w:rsidRPr="00874788">
        <w:rPr>
          <w:rFonts w:ascii="David" w:hAnsi="David" w:cs="David"/>
          <w:sz w:val="24"/>
          <w:szCs w:val="24"/>
          <w:rtl/>
        </w:rPr>
        <w:t>34.</w:t>
      </w:r>
      <w:r w:rsidRPr="00874788">
        <w:rPr>
          <w:rFonts w:ascii="David" w:hAnsi="David" w:cs="David"/>
          <w:sz w:val="24"/>
          <w:szCs w:val="24"/>
          <w:rtl/>
        </w:rPr>
        <w:tab/>
        <w:t>המזכירות תסגור התיק.</w:t>
      </w:r>
    </w:p>
    <w:p w:rsidR="00874788" w:rsidRPr="00874788" w:rsidRDefault="00874788" w:rsidP="00874788">
      <w:pPr>
        <w:spacing w:line="360" w:lineRule="auto"/>
        <w:jc w:val="both"/>
        <w:rPr>
          <w:rFonts w:ascii="David" w:hAnsi="David" w:cs="David"/>
          <w:sz w:val="24"/>
          <w:szCs w:val="24"/>
          <w:rtl/>
        </w:rPr>
      </w:pPr>
    </w:p>
    <w:p w:rsidR="00874788" w:rsidRPr="00874788" w:rsidRDefault="00874788" w:rsidP="00874788">
      <w:pPr>
        <w:spacing w:line="360" w:lineRule="auto"/>
        <w:jc w:val="both"/>
        <w:rPr>
          <w:rFonts w:ascii="David" w:hAnsi="David" w:cs="David"/>
          <w:b/>
          <w:bCs/>
          <w:sz w:val="24"/>
          <w:szCs w:val="24"/>
          <w:rtl/>
        </w:rPr>
      </w:pPr>
    </w:p>
    <w:p w:rsidR="00874788" w:rsidRPr="00874788" w:rsidRDefault="00874788" w:rsidP="00874788">
      <w:pPr>
        <w:spacing w:line="360" w:lineRule="auto"/>
        <w:jc w:val="both"/>
        <w:rPr>
          <w:rFonts w:ascii="David" w:hAnsi="David" w:cs="David"/>
          <w:b/>
          <w:bCs/>
          <w:sz w:val="24"/>
          <w:szCs w:val="24"/>
          <w:rtl/>
        </w:rPr>
      </w:pPr>
      <w:r w:rsidRPr="00874788">
        <w:rPr>
          <w:rFonts w:ascii="David" w:hAnsi="David" w:cs="David"/>
          <w:b/>
          <w:bCs/>
          <w:sz w:val="24"/>
          <w:szCs w:val="24"/>
          <w:rtl/>
        </w:rPr>
        <w:t xml:space="preserve">ניתן היום,  </w:t>
      </w:r>
      <w:sdt>
        <w:sdtPr>
          <w:rPr>
            <w:rFonts w:ascii="David" w:hAnsi="David" w:cs="David"/>
            <w:b/>
            <w:bCs/>
            <w:sz w:val="24"/>
            <w:szCs w:val="24"/>
            <w:rtl/>
          </w:rPr>
          <w:alias w:val="1455"/>
          <w:tag w:val="1455"/>
          <w:id w:val="-1784405537"/>
          <w:text w:multiLine="1"/>
        </w:sdtPr>
        <w:sdtEndPr/>
        <w:sdtContent>
          <w:r w:rsidRPr="00874788">
            <w:rPr>
              <w:rFonts w:ascii="David" w:hAnsi="David" w:cs="David"/>
              <w:b/>
              <w:bCs/>
              <w:sz w:val="24"/>
              <w:szCs w:val="24"/>
              <w:rtl/>
            </w:rPr>
            <w:t>כ"ה תמוז תשפ"ד</w:t>
          </w:r>
        </w:sdtContent>
      </w:sdt>
      <w:r w:rsidRPr="00874788">
        <w:rPr>
          <w:rFonts w:ascii="David" w:hAnsi="David" w:cs="David"/>
          <w:b/>
          <w:bCs/>
          <w:sz w:val="24"/>
          <w:szCs w:val="24"/>
          <w:rtl/>
        </w:rPr>
        <w:t xml:space="preserve">, </w:t>
      </w:r>
      <w:sdt>
        <w:sdtPr>
          <w:rPr>
            <w:rFonts w:ascii="David" w:hAnsi="David" w:cs="David"/>
            <w:b/>
            <w:bCs/>
            <w:sz w:val="24"/>
            <w:szCs w:val="24"/>
            <w:rtl/>
          </w:rPr>
          <w:alias w:val="1456"/>
          <w:tag w:val="1456"/>
          <w:id w:val="-1133865600"/>
          <w:text w:multiLine="1"/>
        </w:sdtPr>
        <w:sdtEndPr/>
        <w:sdtContent>
          <w:r w:rsidRPr="00874788">
            <w:rPr>
              <w:rFonts w:ascii="David" w:hAnsi="David" w:cs="David"/>
              <w:b/>
              <w:bCs/>
              <w:sz w:val="24"/>
              <w:szCs w:val="24"/>
              <w:rtl/>
            </w:rPr>
            <w:t>31 יולי 2024</w:t>
          </w:r>
        </w:sdtContent>
      </w:sdt>
      <w:r w:rsidRPr="00874788">
        <w:rPr>
          <w:rFonts w:ascii="David" w:hAnsi="David" w:cs="David"/>
          <w:b/>
          <w:bCs/>
          <w:sz w:val="24"/>
          <w:szCs w:val="24"/>
          <w:rtl/>
        </w:rPr>
        <w:t>, בהעדר הצדדים.</w:t>
      </w:r>
    </w:p>
    <w:p w:rsidR="00874788" w:rsidRPr="00874788" w:rsidRDefault="00874788" w:rsidP="00874788">
      <w:pPr>
        <w:spacing w:line="360" w:lineRule="auto"/>
        <w:jc w:val="both"/>
        <w:rPr>
          <w:rFonts w:ascii="David" w:hAnsi="David" w:cs="David"/>
          <w:b/>
          <w:bCs/>
          <w:sz w:val="24"/>
          <w:szCs w:val="24"/>
          <w:rtl/>
        </w:rPr>
      </w:pPr>
    </w:p>
    <w:p w:rsidR="00874788" w:rsidRPr="00874788" w:rsidRDefault="00177646" w:rsidP="00874788">
      <w:pPr>
        <w:spacing w:line="360" w:lineRule="auto"/>
        <w:ind w:left="3600" w:firstLine="720"/>
        <w:jc w:val="both"/>
        <w:rPr>
          <w:rFonts w:ascii="David" w:hAnsi="David" w:cs="David"/>
          <w:sz w:val="24"/>
          <w:szCs w:val="24"/>
        </w:rPr>
      </w:pPr>
      <w:sdt>
        <w:sdtPr>
          <w:rPr>
            <w:rFonts w:ascii="David" w:hAnsi="David" w:cs="David"/>
            <w:sz w:val="24"/>
            <w:szCs w:val="24"/>
            <w:rtl/>
          </w:rPr>
          <w:alias w:val="MergeField"/>
          <w:tag w:val="1237"/>
          <w:id w:val="-1827426452"/>
        </w:sdtPr>
        <w:sdtEndPr/>
        <w:sdtContent>
          <w:r w:rsidR="00874788" w:rsidRPr="00874788">
            <w:rPr>
              <w:rFonts w:ascii="David" w:hAnsi="David" w:cs="David"/>
              <w:noProof/>
              <w:sz w:val="24"/>
              <w:szCs w:val="24"/>
            </w:rPr>
            <w:drawing>
              <wp:inline distT="0" distB="0" distL="0" distR="0" wp14:anchorId="647F0347" wp14:editId="77ADA5B6">
                <wp:extent cx="1933574"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7" cstate="print">
                          <a:extLst/>
                        </a:blip>
                        <a:stretch>
                          <a:fillRect/>
                        </a:stretch>
                      </pic:blipFill>
                      <pic:spPr>
                        <a:xfrm>
                          <a:off x="0" y="0"/>
                          <a:ext cx="1933574" cy="762000"/>
                        </a:xfrm>
                        <a:prstGeom prst="rect">
                          <a:avLst/>
                        </a:prstGeom>
                      </pic:spPr>
                    </pic:pic>
                  </a:graphicData>
                </a:graphic>
              </wp:inline>
            </w:drawing>
          </w:r>
        </w:sdtContent>
      </w:sdt>
    </w:p>
    <w:p w:rsidR="00874788" w:rsidRPr="00874788" w:rsidRDefault="00874788" w:rsidP="00874788">
      <w:pPr>
        <w:spacing w:line="360" w:lineRule="auto"/>
        <w:ind w:left="3600" w:firstLine="720"/>
        <w:jc w:val="both"/>
        <w:rPr>
          <w:rFonts w:ascii="David" w:hAnsi="David" w:cs="David"/>
          <w:b/>
          <w:bCs/>
          <w:sz w:val="24"/>
          <w:szCs w:val="24"/>
          <w:rtl/>
        </w:rPr>
      </w:pPr>
    </w:p>
    <w:p w:rsidR="00D56946" w:rsidRPr="00874788" w:rsidRDefault="00D56946" w:rsidP="00874788">
      <w:pPr>
        <w:spacing w:after="0" w:line="360" w:lineRule="auto"/>
        <w:jc w:val="both"/>
        <w:rPr>
          <w:rFonts w:ascii="David" w:hAnsi="David" w:cs="David"/>
          <w:sz w:val="24"/>
          <w:szCs w:val="24"/>
        </w:rPr>
      </w:pPr>
    </w:p>
    <w:sectPr w:rsidR="00D56946" w:rsidRPr="00874788" w:rsidSect="002914D6">
      <w:headerReference w:type="even" r:id="rId8"/>
      <w:headerReference w:type="default" r:id="rId9"/>
      <w:footerReference w:type="even" r:id="rId10"/>
      <w:footerReference w:type="default" r:id="rId11"/>
      <w:headerReference w:type="first" r:id="rId12"/>
      <w:footerReference w:type="first" r:id="rId13"/>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646" w:rsidRDefault="00177646" w:rsidP="00874788">
      <w:pPr>
        <w:spacing w:after="0" w:line="240" w:lineRule="auto"/>
      </w:pPr>
      <w:r>
        <w:separator/>
      </w:r>
    </w:p>
  </w:endnote>
  <w:endnote w:type="continuationSeparator" w:id="0">
    <w:p w:rsidR="00177646" w:rsidRDefault="00177646" w:rsidP="008747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CA8" w:rsidRDefault="00E10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874788">
    <w:pPr>
      <w:pStyle w:val="a5"/>
      <w:jc w:val="center"/>
      <w:rPr>
        <w:rStyle w:val="a8"/>
      </w:rPr>
    </w:pPr>
    <w:r>
      <w:rPr>
        <w:rStyle w:val="a8"/>
      </w:rPr>
      <w:fldChar w:fldCharType="begin"/>
    </w:r>
    <w:r>
      <w:rPr>
        <w:rStyle w:val="a8"/>
      </w:rPr>
      <w:instrText xml:space="preserve"> PAGE </w:instrText>
    </w:r>
    <w:r>
      <w:rPr>
        <w:rStyle w:val="a8"/>
      </w:rPr>
      <w:fldChar w:fldCharType="separate"/>
    </w:r>
    <w:r w:rsidR="00E10CA8">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E10CA8">
      <w:rPr>
        <w:rStyle w:val="a8"/>
        <w:rtl/>
      </w:rPr>
      <w:t>6</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CA8" w:rsidRDefault="00E10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646" w:rsidRDefault="00177646" w:rsidP="00874788">
      <w:pPr>
        <w:spacing w:after="0" w:line="240" w:lineRule="auto"/>
      </w:pPr>
      <w:r>
        <w:separator/>
      </w:r>
    </w:p>
  </w:footnote>
  <w:footnote w:type="continuationSeparator" w:id="0">
    <w:p w:rsidR="00177646" w:rsidRDefault="00177646" w:rsidP="008747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CA8" w:rsidRDefault="00E10CA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874788">
    <w:pPr>
      <w:pStyle w:val="a3"/>
      <w:jc w:val="center"/>
      <w:rPr>
        <w:rFonts w:cs="FrankRuehl"/>
        <w:noProof w:val="0"/>
        <w:sz w:val="28"/>
        <w:szCs w:val="28"/>
        <w:rtl/>
      </w:rPr>
    </w:pPr>
    <w:r>
      <w:rPr>
        <w:rFonts w:cs="FrankRuehl"/>
        <w:sz w:val="28"/>
        <w:szCs w:val="28"/>
      </w:rPr>
      <w:drawing>
        <wp:inline distT="0" distB="0" distL="0" distR="0" wp14:anchorId="012DC1EA" wp14:editId="5374DCC3">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874788">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177646">
          <w:pPr>
            <w:rPr>
              <w:b/>
              <w:bCs/>
              <w:sz w:val="26"/>
              <w:szCs w:val="26"/>
              <w:rtl/>
            </w:rPr>
          </w:pPr>
        </w:p>
      </w:tc>
      <w:tc>
        <w:tcPr>
          <w:tcW w:w="3674" w:type="dxa"/>
        </w:tcPr>
        <w:p w:rsidR="002914D6" w:rsidRDefault="00177646">
          <w:pPr>
            <w:pStyle w:val="a3"/>
            <w:jc w:val="right"/>
            <w:rPr>
              <w:b/>
              <w:bCs/>
              <w:noProof w:val="0"/>
              <w:sz w:val="26"/>
              <w:szCs w:val="26"/>
              <w:rtl/>
            </w:rPr>
          </w:pPr>
        </w:p>
      </w:tc>
    </w:tr>
    <w:tr w:rsidR="002914D6">
      <w:trPr>
        <w:trHeight w:val="337"/>
        <w:jc w:val="center"/>
      </w:trPr>
      <w:tc>
        <w:tcPr>
          <w:tcW w:w="8721" w:type="dxa"/>
          <w:gridSpan w:val="2"/>
        </w:tcPr>
        <w:p w:rsidR="002914D6" w:rsidRDefault="00177646">
          <w:pPr>
            <w:rPr>
              <w:b/>
              <w:bCs/>
              <w:sz w:val="26"/>
              <w:szCs w:val="26"/>
              <w:rtl/>
            </w:rPr>
          </w:pPr>
          <w:sdt>
            <w:sdtPr>
              <w:rPr>
                <w:rtl/>
              </w:rPr>
              <w:alias w:val="1170"/>
              <w:tag w:val="1170"/>
              <w:id w:val="-984775694"/>
              <w:text w:multiLine="1"/>
            </w:sdtPr>
            <w:sdtEndPr/>
            <w:sdtContent>
              <w:r w:rsidR="00874788">
                <w:rPr>
                  <w:b/>
                  <w:bCs/>
                  <w:sz w:val="26"/>
                  <w:szCs w:val="26"/>
                  <w:rtl/>
                </w:rPr>
                <w:t>תלה"מ</w:t>
              </w:r>
            </w:sdtContent>
          </w:sdt>
          <w:r w:rsidR="00874788">
            <w:rPr>
              <w:b/>
              <w:bCs/>
              <w:sz w:val="26"/>
              <w:szCs w:val="26"/>
              <w:rtl/>
            </w:rPr>
            <w:t xml:space="preserve"> </w:t>
          </w:r>
          <w:bookmarkStart w:id="0" w:name="_GoBack"/>
          <w:sdt>
            <w:sdtPr>
              <w:rPr>
                <w:rtl/>
              </w:rPr>
              <w:alias w:val="1171"/>
              <w:tag w:val="1171"/>
              <w:id w:val="1025217868"/>
              <w:text w:multiLine="1"/>
            </w:sdtPr>
            <w:sdtEndPr/>
            <w:sdtContent>
              <w:r w:rsidR="00874788">
                <w:rPr>
                  <w:b/>
                  <w:bCs/>
                  <w:sz w:val="26"/>
                  <w:szCs w:val="26"/>
                  <w:rtl/>
                </w:rPr>
                <w:t>64328-03-24</w:t>
              </w:r>
            </w:sdtContent>
          </w:sdt>
          <w:bookmarkEnd w:id="0"/>
          <w:r w:rsidR="00874788">
            <w:rPr>
              <w:b/>
              <w:bCs/>
              <w:sz w:val="26"/>
              <w:szCs w:val="26"/>
              <w:rtl/>
            </w:rPr>
            <w:t xml:space="preserve"> </w:t>
          </w:r>
          <w:sdt>
            <w:sdtPr>
              <w:rPr>
                <w:rtl/>
              </w:rPr>
              <w:alias w:val="1172"/>
              <w:tag w:val="1172"/>
              <w:id w:val="-673653942"/>
              <w:text w:multiLine="1"/>
            </w:sdtPr>
            <w:sdtEndPr/>
            <w:sdtContent>
              <w:r w:rsidR="00874788">
                <w:rPr>
                  <w:b/>
                  <w:bCs/>
                  <w:sz w:val="26"/>
                  <w:szCs w:val="26"/>
                  <w:rtl/>
                </w:rPr>
                <w:t>ב</w:t>
              </w:r>
              <w:r w:rsidR="00874788">
                <w:rPr>
                  <w:rFonts w:hint="cs"/>
                  <w:b/>
                  <w:bCs/>
                  <w:sz w:val="26"/>
                  <w:szCs w:val="26"/>
                  <w:rtl/>
                </w:rPr>
                <w:t>.</w:t>
              </w:r>
              <w:r w:rsidR="00874788">
                <w:rPr>
                  <w:b/>
                  <w:bCs/>
                  <w:sz w:val="26"/>
                  <w:szCs w:val="26"/>
                  <w:rtl/>
                </w:rPr>
                <w:t xml:space="preserve"> נ' ב</w:t>
              </w:r>
              <w:r w:rsidR="00874788">
                <w:rPr>
                  <w:rFonts w:hint="cs"/>
                  <w:b/>
                  <w:bCs/>
                  <w:sz w:val="26"/>
                  <w:szCs w:val="26"/>
                  <w:rtl/>
                </w:rPr>
                <w:t>.</w:t>
              </w:r>
            </w:sdtContent>
          </w:sdt>
        </w:p>
        <w:p w:rsidR="002914D6" w:rsidRDefault="00177646">
          <w:pPr>
            <w:rPr>
              <w:rtl/>
            </w:rPr>
          </w:pPr>
        </w:p>
      </w:tc>
    </w:tr>
  </w:tbl>
  <w:p w:rsidR="002914D6" w:rsidRDefault="00874788">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0CA8" w:rsidRDefault="00E10CA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F20B9E"/>
    <w:multiLevelType w:val="hybridMultilevel"/>
    <w:tmpl w:val="D25496E8"/>
    <w:lvl w:ilvl="0" w:tplc="180A8FAA">
      <w:start w:val="1"/>
      <w:numFmt w:val="hebrew1"/>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4788"/>
    <w:rsid w:val="00177646"/>
    <w:rsid w:val="003079DC"/>
    <w:rsid w:val="00874788"/>
    <w:rsid w:val="00D56946"/>
    <w:rsid w:val="00E10CA8"/>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5DCF2CA-F6CF-4915-825D-46F38F9A6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74788"/>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4">
    <w:name w:val="כותרת עליונה תו"/>
    <w:basedOn w:val="a0"/>
    <w:link w:val="a3"/>
    <w:rsid w:val="00874788"/>
    <w:rPr>
      <w:rFonts w:ascii="Times New Roman" w:eastAsia="Times New Roman" w:hAnsi="Times New Roman" w:cs="David"/>
      <w:noProof/>
      <w:sz w:val="24"/>
      <w:szCs w:val="24"/>
    </w:rPr>
  </w:style>
  <w:style w:type="paragraph" w:styleId="a5">
    <w:name w:val="footer"/>
    <w:basedOn w:val="a"/>
    <w:link w:val="a6"/>
    <w:rsid w:val="00874788"/>
    <w:pPr>
      <w:tabs>
        <w:tab w:val="center" w:pos="4153"/>
        <w:tab w:val="right" w:pos="8306"/>
      </w:tabs>
      <w:spacing w:after="0" w:line="240" w:lineRule="auto"/>
    </w:pPr>
    <w:rPr>
      <w:rFonts w:ascii="Times New Roman" w:eastAsia="Times New Roman" w:hAnsi="Times New Roman" w:cs="David"/>
      <w:noProof/>
      <w:sz w:val="24"/>
      <w:szCs w:val="24"/>
    </w:rPr>
  </w:style>
  <w:style w:type="character" w:customStyle="1" w:styleId="a6">
    <w:name w:val="כותרת תחתונה תו"/>
    <w:basedOn w:val="a0"/>
    <w:link w:val="a5"/>
    <w:rsid w:val="00874788"/>
    <w:rPr>
      <w:rFonts w:ascii="Times New Roman" w:eastAsia="Times New Roman" w:hAnsi="Times New Roman" w:cs="David"/>
      <w:noProof/>
      <w:sz w:val="24"/>
      <w:szCs w:val="24"/>
    </w:rPr>
  </w:style>
  <w:style w:type="table" w:styleId="a7">
    <w:name w:val="Table Grid"/>
    <w:basedOn w:val="a1"/>
    <w:rsid w:val="00874788"/>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874788"/>
  </w:style>
  <w:style w:type="table" w:customStyle="1" w:styleId="1">
    <w:name w:val="רשת טבלה1"/>
    <w:basedOn w:val="a1"/>
    <w:next w:val="a7"/>
    <w:rsid w:val="00874788"/>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874788"/>
    <w:pPr>
      <w:spacing w:after="0" w:line="240" w:lineRule="auto"/>
      <w:ind w:left="720"/>
      <w:contextualSpacing/>
    </w:pPr>
    <w:rPr>
      <w:rFonts w:ascii="Times New Roman" w:eastAsia="Times New Roman" w:hAnsi="Times New Roman" w:cs="David"/>
      <w:noProof/>
      <w:sz w:val="24"/>
      <w:szCs w:val="24"/>
    </w:rPr>
  </w:style>
  <w:style w:type="character" w:styleId="aa">
    <w:name w:val="line number"/>
    <w:basedOn w:val="a0"/>
    <w:uiPriority w:val="99"/>
    <w:semiHidden/>
    <w:unhideWhenUsed/>
    <w:rsid w:val="008747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906</Words>
  <Characters>4531</Characters>
  <Application>Microsoft Office Word</Application>
  <DocSecurity>0</DocSecurity>
  <Lines>37</Lines>
  <Paragraphs>10</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רותם כהן</cp:lastModifiedBy>
  <cp:revision>2</cp:revision>
  <dcterms:created xsi:type="dcterms:W3CDTF">2024-07-31T10:39:00Z</dcterms:created>
  <dcterms:modified xsi:type="dcterms:W3CDTF">2024-07-31T10:39:00Z</dcterms:modified>
</cp:coreProperties>
</file>